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A548A3">
      <w:pPr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840518" w:rsidRPr="00D00D54" w:rsidRDefault="00840518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474540" w:rsidRPr="007440CC" w:rsidRDefault="007440CC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7440CC">
        <w:rPr>
          <w:rFonts w:asciiTheme="minorHAnsi" w:hAnsiTheme="minorHAnsi" w:cs="Arial"/>
          <w:b/>
          <w:sz w:val="18"/>
          <w:szCs w:val="18"/>
        </w:rPr>
        <w:t>FORMACIÓN Y ACTUALIZACIÓN DEL CAPITAL HUMANO</w:t>
      </w:r>
    </w:p>
    <w:p w:rsidR="00474540" w:rsidRPr="00D00D54" w:rsidRDefault="00474540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4B4C37" w:rsidRPr="00D00D54" w:rsidRDefault="004B4C37" w:rsidP="004B4C37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>Valladolid, a través del</w:t>
      </w:r>
      <w:r w:rsidRPr="00D408E4">
        <w:rPr>
          <w:rFonts w:ascii="Arial" w:hAnsi="Arial" w:cs="Arial"/>
          <w:sz w:val="20"/>
          <w:szCs w:val="20"/>
        </w:rPr>
        <w:t xml:space="preserve"> </w:t>
      </w:r>
      <w:r w:rsidRPr="00D408E4">
        <w:rPr>
          <w:rFonts w:asciiTheme="minorHAnsi" w:hAnsiTheme="minorHAnsi" w:cs="Arial"/>
          <w:sz w:val="18"/>
          <w:szCs w:val="18"/>
        </w:rPr>
        <w:t>Departamento de Recursos Humanos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A1BC1" w:rsidRDefault="00AA1BC1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CC24A3" w:rsidRPr="00CC24A3" w:rsidRDefault="00CC24A3" w:rsidP="00CC24A3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C24A3">
        <w:rPr>
          <w:rFonts w:asciiTheme="minorHAnsi" w:eastAsiaTheme="minorHAnsi" w:hAnsiTheme="minorHAnsi" w:cs="Arial"/>
          <w:sz w:val="18"/>
          <w:szCs w:val="18"/>
          <w:lang w:eastAsia="en-US"/>
        </w:rPr>
        <w:t>Sus datos personales serán utilizados con la finalidad de realizar su registro como participante en las eventos de capacitación organizados, validar su asistencia a dichos eventos, ofrecerle capacitación, generar las constancias respectivas (en su caso), elaborar informes estadísticos, establecer comunicación para darle seguimiento a la conclusión de los cursos, así como para aclarar dudas sobre sus datos, y notificarle la cancelación o cambio de horario, fecha y/o sede de las actividades a realizar Para las finalidades antes señaladas se recaban los siguientes datos personales: nombre, género, edad, grado máximo de estudios, número de celular y correo electrónico así como datos laborales (nombre de la institución donde labora, puesto que ocupa, teléfono de oficina y correo electrónico de oficina). De la misma manera se informa que se recaba información personal sensible referente a si habla alguna lengua indígena</w:t>
      </w:r>
      <w:r w:rsidRPr="00CC24A3">
        <w:rPr>
          <w:rFonts w:ascii="Arial" w:eastAsiaTheme="minorHAnsi" w:hAnsi="Arial" w:cs="Arial"/>
          <w:sz w:val="20"/>
          <w:szCs w:val="20"/>
          <w:lang w:eastAsia="en-US"/>
        </w:rPr>
        <w:t xml:space="preserve">.  </w:t>
      </w:r>
    </w:p>
    <w:p w:rsidR="00AA1BC1" w:rsidRPr="00D00D54" w:rsidRDefault="00AA1BC1" w:rsidP="00C208D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6D400C" w:rsidRDefault="00AA1BC1" w:rsidP="00C208D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6D400C" w:rsidRPr="00D00D54" w:rsidRDefault="006D400C" w:rsidP="00C208D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682907" w:rsidRDefault="00682907" w:rsidP="006D400C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151037" w:rsidRPr="00D00D54" w:rsidRDefault="00151037" w:rsidP="006D400C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2660E5">
        <w:rPr>
          <w:rFonts w:asciiTheme="minorHAnsi" w:eastAsiaTheme="minorHAnsi" w:hAnsiTheme="minorHAnsi" w:cs="Arial"/>
          <w:sz w:val="18"/>
          <w:szCs w:val="18"/>
          <w:lang w:eastAsia="en-US"/>
        </w:rPr>
        <w:t>Se informa que se realizará transferencia de datos con el Tecnológico Nacional de México (</w:t>
      </w:r>
      <w:proofErr w:type="spellStart"/>
      <w:r w:rsidRPr="002660E5">
        <w:rPr>
          <w:rFonts w:asciiTheme="minorHAnsi" w:eastAsiaTheme="minorHAnsi" w:hAnsiTheme="minorHAnsi" w:cs="Arial"/>
          <w:sz w:val="18"/>
          <w:szCs w:val="18"/>
          <w:lang w:eastAsia="en-US"/>
        </w:rPr>
        <w:t>TecNM</w:t>
      </w:r>
      <w:proofErr w:type="spellEnd"/>
      <w:r w:rsidRPr="002660E5">
        <w:rPr>
          <w:rFonts w:asciiTheme="minorHAnsi" w:eastAsiaTheme="minorHAnsi" w:hAnsiTheme="minorHAnsi" w:cs="Arial"/>
          <w:sz w:val="18"/>
          <w:szCs w:val="18"/>
          <w:lang w:eastAsia="en-US"/>
        </w:rPr>
        <w:t>) y con las dependencias del Gobierno del Estado de Yucatán</w:t>
      </w:r>
    </w:p>
    <w:p w:rsidR="00151037" w:rsidRDefault="00151037" w:rsidP="006D400C">
      <w:pPr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(Información</w:t>
      </w:r>
      <w:r>
        <w:rPr>
          <w:rFonts w:asciiTheme="minorHAnsi" w:eastAsia="Arial Narrow" w:hAnsiTheme="minorHAnsi" w:cs="Arial"/>
          <w:sz w:val="18"/>
          <w:szCs w:val="18"/>
        </w:rPr>
        <w:t xml:space="preserve"> exclusivo para el área del Departamento de Recursos Humanos</w:t>
      </w:r>
      <w:r w:rsidRPr="00D00D54">
        <w:rPr>
          <w:rFonts w:asciiTheme="minorHAnsi" w:eastAsia="Arial Narrow" w:hAnsiTheme="minorHAnsi" w:cs="Arial"/>
          <w:sz w:val="18"/>
          <w:szCs w:val="18"/>
        </w:rPr>
        <w:t>).</w:t>
      </w:r>
    </w:p>
    <w:p w:rsidR="007057D1" w:rsidRPr="00D00D54" w:rsidRDefault="007057D1" w:rsidP="006D400C">
      <w:pPr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951CAE" w:rsidP="00A548A3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3D7378" w:rsidRDefault="00AC6E8B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3D7378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29687A" w:rsidRPr="003D7378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29687A" w:rsidRPr="003D7378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29687A" w:rsidRPr="003D7378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3D7378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r w:rsidR="009445C9" w:rsidRPr="003D7378">
        <w:rPr>
          <w:rFonts w:asciiTheme="minorHAnsi" w:eastAsia="Arial Narrow" w:hAnsiTheme="minorHAnsi" w:cs="Arial Narrow"/>
          <w:sz w:val="18"/>
          <w:szCs w:val="18"/>
        </w:rPr>
        <w:t>o</w:t>
      </w:r>
      <w:r w:rsidRPr="003D7378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3D7378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3D7378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3D7378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3D7378" w:rsidRDefault="00B80EEA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 w:rsidRPr="003D7378"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3D7378">
        <w:rPr>
          <w:rFonts w:asciiTheme="minorHAnsi" w:eastAsia="Arial Narrow" w:hAnsiTheme="minorHAnsi" w:cs="Arial"/>
          <w:sz w:val="18"/>
          <w:szCs w:val="18"/>
        </w:rPr>
        <w:t>Nombre del titular y su domicilio o cualquier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 xml:space="preserve"> otro medio para recibir notificaciones.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A548A3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7057D1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7057D1">
      <w:pPr>
        <w:widowControl w:val="0"/>
        <w:autoSpaceDE w:val="0"/>
        <w:autoSpaceDN w:val="0"/>
        <w:ind w:right="108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A548A3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0D0257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0D0257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5A72BA" w:rsidRPr="00D46AED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darryl.cc@valladolid.tecnm.mx</w:t>
        </w:r>
      </w:hyperlink>
      <w:proofErr w:type="gramStart"/>
      <w:r w:rsidR="005A72BA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5A72BA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8A709B" w:rsidRPr="00D00D54" w:rsidRDefault="008A709B" w:rsidP="000D0257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A373B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A373B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72085F" w:rsidRDefault="0072085F" w:rsidP="00A373BF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8A709B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251E3E" w:rsidP="008A709B">
      <w:pPr>
        <w:widowControl w:val="0"/>
        <w:autoSpaceDE w:val="0"/>
        <w:autoSpaceDN w:val="0"/>
        <w:ind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36" w:rsidRDefault="002B3636" w:rsidP="000F1A45">
      <w:r>
        <w:separator/>
      </w:r>
    </w:p>
  </w:endnote>
  <w:endnote w:type="continuationSeparator" w:id="0">
    <w:p w:rsidR="002B3636" w:rsidRDefault="002B3636" w:rsidP="000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F1A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F1A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F1A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36" w:rsidRDefault="002B3636" w:rsidP="000F1A45">
      <w:r>
        <w:separator/>
      </w:r>
    </w:p>
  </w:footnote>
  <w:footnote w:type="continuationSeparator" w:id="0">
    <w:p w:rsidR="002B3636" w:rsidRDefault="002B3636" w:rsidP="000F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F1A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13562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EFC8A63" wp14:editId="7955BD45">
          <wp:simplePos x="0" y="0"/>
          <wp:positionH relativeFrom="margin">
            <wp:posOffset>-674914</wp:posOffset>
          </wp:positionH>
          <wp:positionV relativeFrom="paragraph">
            <wp:posOffset>-291737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DC1FB80" wp14:editId="25DA2BCD">
          <wp:simplePos x="0" y="0"/>
          <wp:positionH relativeFrom="margin">
            <wp:posOffset>3200400</wp:posOffset>
          </wp:positionH>
          <wp:positionV relativeFrom="paragraph">
            <wp:posOffset>-368572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A45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CF2A32" wp14:editId="4F928805">
          <wp:simplePos x="0" y="0"/>
          <wp:positionH relativeFrom="column">
            <wp:posOffset>5791200</wp:posOffset>
          </wp:positionH>
          <wp:positionV relativeFrom="paragraph">
            <wp:posOffset>-185692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A45">
      <w:ptab w:relativeTo="margin" w:alignment="center" w:leader="none"/>
    </w:r>
    <w:r w:rsidR="000F1A45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A45" w:rsidRDefault="000F1A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13562"/>
    <w:rsid w:val="00030ED5"/>
    <w:rsid w:val="00047D2C"/>
    <w:rsid w:val="000929F4"/>
    <w:rsid w:val="000A49B2"/>
    <w:rsid w:val="000D0257"/>
    <w:rsid w:val="000E2D8D"/>
    <w:rsid w:val="000F1A45"/>
    <w:rsid w:val="00106D75"/>
    <w:rsid w:val="0011521C"/>
    <w:rsid w:val="001214AF"/>
    <w:rsid w:val="00133387"/>
    <w:rsid w:val="00151037"/>
    <w:rsid w:val="00160353"/>
    <w:rsid w:val="00174EC0"/>
    <w:rsid w:val="001D7BAB"/>
    <w:rsid w:val="00214A44"/>
    <w:rsid w:val="002268C7"/>
    <w:rsid w:val="00251E3E"/>
    <w:rsid w:val="002660E5"/>
    <w:rsid w:val="00284D57"/>
    <w:rsid w:val="0029687A"/>
    <w:rsid w:val="002B3636"/>
    <w:rsid w:val="002B6283"/>
    <w:rsid w:val="00380821"/>
    <w:rsid w:val="003A21DE"/>
    <w:rsid w:val="003C2793"/>
    <w:rsid w:val="003D548C"/>
    <w:rsid w:val="003D7378"/>
    <w:rsid w:val="003F1C10"/>
    <w:rsid w:val="00401419"/>
    <w:rsid w:val="00413374"/>
    <w:rsid w:val="00447144"/>
    <w:rsid w:val="0047162B"/>
    <w:rsid w:val="00474540"/>
    <w:rsid w:val="00483178"/>
    <w:rsid w:val="004B084A"/>
    <w:rsid w:val="004B4C37"/>
    <w:rsid w:val="004C53DE"/>
    <w:rsid w:val="004D3D28"/>
    <w:rsid w:val="005101B4"/>
    <w:rsid w:val="00595A03"/>
    <w:rsid w:val="00595EEB"/>
    <w:rsid w:val="005A111C"/>
    <w:rsid w:val="005A72BA"/>
    <w:rsid w:val="005B0279"/>
    <w:rsid w:val="005F54B3"/>
    <w:rsid w:val="00622B06"/>
    <w:rsid w:val="00644FC7"/>
    <w:rsid w:val="006506F4"/>
    <w:rsid w:val="00682907"/>
    <w:rsid w:val="006A321D"/>
    <w:rsid w:val="006B1E9C"/>
    <w:rsid w:val="006D400C"/>
    <w:rsid w:val="007057D1"/>
    <w:rsid w:val="0072085F"/>
    <w:rsid w:val="007440CC"/>
    <w:rsid w:val="00750420"/>
    <w:rsid w:val="00752434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C2F64"/>
    <w:rsid w:val="007D13A7"/>
    <w:rsid w:val="007D54D1"/>
    <w:rsid w:val="007D6D3E"/>
    <w:rsid w:val="007E4F23"/>
    <w:rsid w:val="008378EF"/>
    <w:rsid w:val="00840518"/>
    <w:rsid w:val="00840AC2"/>
    <w:rsid w:val="008740DC"/>
    <w:rsid w:val="00875088"/>
    <w:rsid w:val="008A709B"/>
    <w:rsid w:val="008A7FE8"/>
    <w:rsid w:val="008D165B"/>
    <w:rsid w:val="009445C9"/>
    <w:rsid w:val="00951CAE"/>
    <w:rsid w:val="009D1057"/>
    <w:rsid w:val="009E570B"/>
    <w:rsid w:val="009E7C5B"/>
    <w:rsid w:val="009F6DB3"/>
    <w:rsid w:val="00A02A32"/>
    <w:rsid w:val="00A060CF"/>
    <w:rsid w:val="00A373BF"/>
    <w:rsid w:val="00A548A3"/>
    <w:rsid w:val="00A83BA1"/>
    <w:rsid w:val="00AA1BC1"/>
    <w:rsid w:val="00AB092C"/>
    <w:rsid w:val="00AC1D18"/>
    <w:rsid w:val="00AC53B3"/>
    <w:rsid w:val="00AC6E8B"/>
    <w:rsid w:val="00AD1936"/>
    <w:rsid w:val="00B064A3"/>
    <w:rsid w:val="00B30BA5"/>
    <w:rsid w:val="00B54F23"/>
    <w:rsid w:val="00B80EEA"/>
    <w:rsid w:val="00B86813"/>
    <w:rsid w:val="00B86ABE"/>
    <w:rsid w:val="00B97B09"/>
    <w:rsid w:val="00BA1E21"/>
    <w:rsid w:val="00C1128F"/>
    <w:rsid w:val="00C146C7"/>
    <w:rsid w:val="00C208D6"/>
    <w:rsid w:val="00C34A1C"/>
    <w:rsid w:val="00C556D7"/>
    <w:rsid w:val="00CA3EDE"/>
    <w:rsid w:val="00CA57BE"/>
    <w:rsid w:val="00CB0F84"/>
    <w:rsid w:val="00CC24A3"/>
    <w:rsid w:val="00CC5498"/>
    <w:rsid w:val="00D0025C"/>
    <w:rsid w:val="00D00BF1"/>
    <w:rsid w:val="00D00D54"/>
    <w:rsid w:val="00D100CB"/>
    <w:rsid w:val="00D17DB9"/>
    <w:rsid w:val="00D408E4"/>
    <w:rsid w:val="00DA14AE"/>
    <w:rsid w:val="00DB040D"/>
    <w:rsid w:val="00DC15BB"/>
    <w:rsid w:val="00DE0F67"/>
    <w:rsid w:val="00E11407"/>
    <w:rsid w:val="00E4211B"/>
    <w:rsid w:val="00E6737E"/>
    <w:rsid w:val="00E75B3F"/>
    <w:rsid w:val="00E95ABF"/>
    <w:rsid w:val="00F61F17"/>
    <w:rsid w:val="00F7778D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1A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A4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1A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A4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rryl.cc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141</cp:revision>
  <dcterms:created xsi:type="dcterms:W3CDTF">2020-08-24T17:43:00Z</dcterms:created>
  <dcterms:modified xsi:type="dcterms:W3CDTF">2024-01-30T18:42:00Z</dcterms:modified>
</cp:coreProperties>
</file>